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center"/>
        <w:outlineLvl w:val="1"/>
        <w:rPr>
          <w:rFonts w:hint="eastAsia" w:ascii="微软雅黑" w:hAnsi="微软雅黑" w:eastAsia="微软雅黑" w:cs="微软雅黑"/>
          <w:b w:val="0"/>
          <w:bCs/>
          <w:sz w:val="32"/>
          <w:highlight w:val="none"/>
        </w:rPr>
      </w:pPr>
      <w:r>
        <w:rPr>
          <w:rFonts w:hint="eastAsia" w:ascii="微软雅黑" w:hAnsi="微软雅黑" w:eastAsia="微软雅黑" w:cs="微软雅黑"/>
          <w:b w:val="0"/>
          <w:bCs/>
          <w:sz w:val="32"/>
          <w:highlight w:val="none"/>
        </w:rPr>
        <w:t>竞标</w:t>
      </w:r>
      <w:r>
        <w:rPr>
          <w:rFonts w:hint="eastAsia" w:ascii="微软雅黑" w:hAnsi="微软雅黑" w:eastAsia="微软雅黑" w:cs="微软雅黑"/>
          <w:b w:val="0"/>
          <w:bCs/>
          <w:sz w:val="32"/>
          <w:highlight w:val="none"/>
          <w:lang w:eastAsia="zh-CN"/>
        </w:rPr>
        <w:t>函附</w:t>
      </w:r>
      <w:r>
        <w:rPr>
          <w:rFonts w:hint="eastAsia" w:ascii="微软雅黑" w:hAnsi="微软雅黑" w:eastAsia="微软雅黑" w:cs="微软雅黑"/>
          <w:b w:val="0"/>
          <w:bCs/>
          <w:sz w:val="32"/>
          <w:highlight w:val="none"/>
        </w:rPr>
        <w:t>表</w:t>
      </w:r>
    </w:p>
    <w:p>
      <w:pPr>
        <w:pStyle w:val="4"/>
        <w:spacing w:before="165" w:beforeLines="50" w:after="165" w:afterLines="50"/>
        <w:rPr>
          <w:rFonts w:hint="eastAsia" w:ascii="微软雅黑" w:hAnsi="微软雅黑" w:eastAsia="微软雅黑" w:cs="微软雅黑"/>
          <w:sz w:val="24"/>
          <w:szCs w:val="24"/>
          <w:highlight w:val="none"/>
          <w:u w:val="single"/>
        </w:rPr>
      </w:pPr>
      <w:r>
        <w:rPr>
          <w:rFonts w:hint="eastAsia" w:ascii="微软雅黑" w:hAnsi="微软雅黑" w:eastAsia="微软雅黑" w:cs="微软雅黑"/>
          <w:sz w:val="24"/>
          <w:szCs w:val="24"/>
          <w:highlight w:val="none"/>
        </w:rPr>
        <w:t>项目名称：</w:t>
      </w:r>
      <w:r>
        <w:rPr>
          <w:rFonts w:hint="eastAsia" w:ascii="微软雅黑" w:hAnsi="微软雅黑" w:eastAsia="微软雅黑" w:cs="微软雅黑"/>
          <w:sz w:val="24"/>
          <w:szCs w:val="24"/>
          <w:highlight w:val="none"/>
          <w:u w:val="single"/>
        </w:rPr>
        <w:t xml:space="preserve"> </w:t>
      </w:r>
      <w:r>
        <w:rPr>
          <w:rFonts w:hint="eastAsia" w:ascii="微软雅黑" w:hAnsi="微软雅黑" w:eastAsia="微软雅黑" w:cs="微软雅黑"/>
          <w:sz w:val="24"/>
          <w:szCs w:val="24"/>
          <w:highlight w:val="none"/>
          <w:u w:val="single"/>
          <w:lang w:val="en-US" w:eastAsia="zh-CN"/>
        </w:rPr>
        <w:t>靖西铝工业区铝材加工区及返乡农民工创业园一期太阳能监控路灯采购及安装</w:t>
      </w:r>
      <w:r>
        <w:rPr>
          <w:rFonts w:hint="eastAsia" w:ascii="微软雅黑" w:hAnsi="微软雅黑" w:eastAsia="微软雅黑" w:cs="微软雅黑"/>
          <w:sz w:val="24"/>
          <w:szCs w:val="24"/>
          <w:highlight w:val="none"/>
          <w:u w:val="single"/>
        </w:rPr>
        <w:t xml:space="preserve"> </w:t>
      </w:r>
    </w:p>
    <w:p>
      <w:pPr>
        <w:pStyle w:val="4"/>
        <w:spacing w:before="165" w:beforeLines="50" w:after="165" w:afterLines="50"/>
        <w:rPr>
          <w:rFonts w:hint="eastAsia" w:ascii="微软雅黑" w:hAnsi="微软雅黑" w:eastAsia="微软雅黑" w:cs="微软雅黑"/>
          <w:sz w:val="24"/>
          <w:szCs w:val="24"/>
          <w:highlight w:val="none"/>
          <w:u w:val="single"/>
        </w:rPr>
      </w:pPr>
      <w:r>
        <w:rPr>
          <w:rFonts w:hint="eastAsia" w:ascii="微软雅黑" w:hAnsi="微软雅黑" w:eastAsia="微软雅黑" w:cs="微软雅黑"/>
          <w:sz w:val="24"/>
          <w:szCs w:val="24"/>
          <w:highlight w:val="none"/>
        </w:rPr>
        <w:t>项目编号：</w:t>
      </w:r>
      <w:r>
        <w:rPr>
          <w:rFonts w:hint="eastAsia" w:ascii="微软雅黑" w:hAnsi="微软雅黑" w:eastAsia="微软雅黑" w:cs="微软雅黑"/>
          <w:sz w:val="24"/>
          <w:szCs w:val="24"/>
          <w:highlight w:val="none"/>
          <w:u w:val="single"/>
        </w:rPr>
        <w:t xml:space="preserve"> </w:t>
      </w:r>
      <w:r>
        <w:rPr>
          <w:rFonts w:hint="eastAsia" w:ascii="微软雅黑" w:hAnsi="微软雅黑" w:eastAsia="微软雅黑" w:cs="微软雅黑"/>
          <w:sz w:val="24"/>
          <w:szCs w:val="24"/>
          <w:highlight w:val="none"/>
          <w:u w:val="single"/>
          <w:lang w:val="en-US" w:eastAsia="zh-CN"/>
        </w:rPr>
        <w:t xml:space="preserve">BSZC2018-J1-13015-ZYZB </w:t>
      </w:r>
    </w:p>
    <w:tbl>
      <w:tblPr>
        <w:tblStyle w:val="7"/>
        <w:tblW w:w="10730" w:type="dxa"/>
        <w:tblInd w:w="-1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
        <w:gridCol w:w="806"/>
        <w:gridCol w:w="6740"/>
        <w:gridCol w:w="582"/>
        <w:gridCol w:w="843"/>
        <w:gridCol w:w="854"/>
        <w:gridCol w:w="4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9" w:hRule="atLeast"/>
        </w:trPr>
        <w:tc>
          <w:tcPr>
            <w:tcW w:w="418" w:type="dxa"/>
            <w:vMerge w:val="restart"/>
            <w:vAlign w:val="center"/>
          </w:tcPr>
          <w:p>
            <w:pPr>
              <w:pStyle w:val="4"/>
              <w:snapToGrid w:val="0"/>
              <w:jc w:val="center"/>
              <w:rPr>
                <w:rFonts w:hint="eastAsia" w:ascii="微软雅黑" w:hAnsi="微软雅黑" w:eastAsia="微软雅黑" w:cs="微软雅黑"/>
                <w:bCs/>
                <w:kern w:val="2"/>
                <w:sz w:val="21"/>
                <w:szCs w:val="21"/>
                <w:highlight w:val="none"/>
                <w:lang w:val="en-US" w:eastAsia="zh-CN" w:bidi="ar-SA"/>
              </w:rPr>
            </w:pPr>
            <w:r>
              <w:rPr>
                <w:rFonts w:hint="eastAsia" w:ascii="微软雅黑" w:hAnsi="微软雅黑" w:eastAsia="微软雅黑" w:cs="微软雅黑"/>
                <w:bCs/>
                <w:kern w:val="2"/>
                <w:sz w:val="21"/>
                <w:szCs w:val="21"/>
                <w:highlight w:val="none"/>
                <w:lang w:val="en-US" w:eastAsia="zh-CN" w:bidi="ar-SA"/>
              </w:rPr>
              <w:t>项号</w:t>
            </w:r>
          </w:p>
        </w:tc>
        <w:tc>
          <w:tcPr>
            <w:tcW w:w="806" w:type="dxa"/>
            <w:vMerge w:val="restart"/>
            <w:vAlign w:val="center"/>
          </w:tcPr>
          <w:p>
            <w:pPr>
              <w:pStyle w:val="4"/>
              <w:snapToGrid w:val="0"/>
              <w:jc w:val="center"/>
              <w:rPr>
                <w:rFonts w:hint="eastAsia" w:ascii="微软雅黑" w:hAnsi="微软雅黑" w:eastAsia="微软雅黑" w:cs="微软雅黑"/>
                <w:bCs/>
                <w:kern w:val="2"/>
                <w:sz w:val="21"/>
                <w:szCs w:val="21"/>
                <w:highlight w:val="none"/>
                <w:lang w:val="en-US" w:eastAsia="zh-CN" w:bidi="ar-SA"/>
              </w:rPr>
            </w:pPr>
            <w:r>
              <w:rPr>
                <w:rFonts w:hint="eastAsia" w:ascii="微软雅黑" w:hAnsi="微软雅黑" w:eastAsia="微软雅黑" w:cs="微软雅黑"/>
                <w:bCs/>
                <w:kern w:val="2"/>
                <w:sz w:val="21"/>
                <w:szCs w:val="21"/>
                <w:highlight w:val="none"/>
                <w:lang w:val="en-US" w:eastAsia="zh-CN" w:bidi="ar-SA"/>
              </w:rPr>
              <w:t>货物名称</w:t>
            </w:r>
          </w:p>
        </w:tc>
        <w:tc>
          <w:tcPr>
            <w:tcW w:w="6740" w:type="dxa"/>
            <w:vMerge w:val="restart"/>
            <w:vAlign w:val="center"/>
          </w:tcPr>
          <w:p>
            <w:pPr>
              <w:pStyle w:val="4"/>
              <w:snapToGrid w:val="0"/>
              <w:jc w:val="center"/>
              <w:rPr>
                <w:rFonts w:hint="eastAsia" w:ascii="微软雅黑" w:hAnsi="微软雅黑" w:eastAsia="微软雅黑" w:cs="微软雅黑"/>
                <w:bCs/>
                <w:kern w:val="2"/>
                <w:sz w:val="21"/>
                <w:szCs w:val="21"/>
                <w:highlight w:val="none"/>
                <w:lang w:val="en-US" w:eastAsia="zh-CN" w:bidi="ar-SA"/>
              </w:rPr>
            </w:pPr>
            <w:r>
              <w:rPr>
                <w:rFonts w:hint="eastAsia" w:ascii="微软雅黑" w:hAnsi="微软雅黑" w:eastAsia="微软雅黑" w:cs="微软雅黑"/>
                <w:bCs/>
                <w:kern w:val="2"/>
                <w:sz w:val="21"/>
                <w:szCs w:val="21"/>
                <w:highlight w:val="none"/>
                <w:lang w:val="en-US" w:eastAsia="zh-CN" w:bidi="ar-SA"/>
              </w:rPr>
              <w:t>货物的技术参数和性能</w:t>
            </w:r>
          </w:p>
        </w:tc>
        <w:tc>
          <w:tcPr>
            <w:tcW w:w="582" w:type="dxa"/>
            <w:vMerge w:val="restart"/>
            <w:vAlign w:val="center"/>
          </w:tcPr>
          <w:p>
            <w:pPr>
              <w:pStyle w:val="4"/>
              <w:snapToGrid w:val="0"/>
              <w:jc w:val="center"/>
              <w:rPr>
                <w:rFonts w:hint="eastAsia" w:ascii="微软雅黑" w:hAnsi="微软雅黑" w:eastAsia="微软雅黑" w:cs="微软雅黑"/>
                <w:bCs/>
                <w:kern w:val="2"/>
                <w:sz w:val="21"/>
                <w:szCs w:val="21"/>
                <w:highlight w:val="none"/>
                <w:lang w:val="en-US" w:eastAsia="zh-CN" w:bidi="ar-SA"/>
              </w:rPr>
            </w:pPr>
            <w:r>
              <w:rPr>
                <w:rFonts w:hint="eastAsia" w:ascii="微软雅黑" w:hAnsi="微软雅黑" w:eastAsia="微软雅黑" w:cs="微软雅黑"/>
                <w:bCs/>
                <w:kern w:val="2"/>
                <w:sz w:val="21"/>
                <w:szCs w:val="21"/>
                <w:highlight w:val="none"/>
                <w:lang w:val="en-US" w:eastAsia="zh-CN" w:bidi="ar-SA"/>
              </w:rPr>
              <w:t>数量</w:t>
            </w:r>
          </w:p>
          <w:p>
            <w:pPr>
              <w:pStyle w:val="4"/>
              <w:snapToGrid w:val="0"/>
              <w:jc w:val="center"/>
              <w:rPr>
                <w:rFonts w:hint="eastAsia" w:ascii="微软雅黑" w:hAnsi="微软雅黑" w:eastAsia="微软雅黑" w:cs="微软雅黑"/>
                <w:bCs/>
                <w:kern w:val="2"/>
                <w:sz w:val="21"/>
                <w:szCs w:val="21"/>
                <w:highlight w:val="none"/>
                <w:lang w:val="en-US" w:eastAsia="zh-CN" w:bidi="ar-SA"/>
              </w:rPr>
            </w:pPr>
            <w:r>
              <w:rPr>
                <w:rFonts w:hint="eastAsia" w:ascii="微软雅黑" w:hAnsi="微软雅黑" w:eastAsia="微软雅黑" w:cs="微软雅黑"/>
                <w:bCs/>
                <w:kern w:val="2"/>
                <w:sz w:val="21"/>
                <w:szCs w:val="21"/>
                <w:highlight w:val="none"/>
                <w:lang w:val="en-US" w:eastAsia="zh-CN" w:bidi="ar-SA"/>
              </w:rPr>
              <w:t>(套)</w:t>
            </w:r>
          </w:p>
        </w:tc>
        <w:tc>
          <w:tcPr>
            <w:tcW w:w="843" w:type="dxa"/>
            <w:vMerge w:val="restart"/>
            <w:vAlign w:val="center"/>
          </w:tcPr>
          <w:p>
            <w:pPr>
              <w:pStyle w:val="4"/>
              <w:snapToGrid w:val="0"/>
              <w:jc w:val="center"/>
              <w:rPr>
                <w:rFonts w:hint="eastAsia" w:ascii="微软雅黑" w:hAnsi="微软雅黑" w:eastAsia="微软雅黑" w:cs="微软雅黑"/>
                <w:bCs/>
                <w:kern w:val="2"/>
                <w:sz w:val="21"/>
                <w:szCs w:val="21"/>
                <w:highlight w:val="none"/>
                <w:lang w:val="en-US" w:eastAsia="zh-CN" w:bidi="ar-SA"/>
              </w:rPr>
            </w:pPr>
            <w:r>
              <w:rPr>
                <w:rFonts w:hint="eastAsia" w:ascii="微软雅黑" w:hAnsi="微软雅黑" w:eastAsia="微软雅黑" w:cs="微软雅黑"/>
                <w:bCs/>
                <w:kern w:val="2"/>
                <w:sz w:val="21"/>
                <w:szCs w:val="21"/>
                <w:highlight w:val="none"/>
                <w:lang w:val="en-US" w:eastAsia="zh-CN" w:bidi="ar-SA"/>
              </w:rPr>
              <w:t>单价</w:t>
            </w:r>
            <w:bookmarkStart w:id="0" w:name="_GoBack"/>
            <w:bookmarkEnd w:id="0"/>
          </w:p>
          <w:p>
            <w:pPr>
              <w:pStyle w:val="4"/>
              <w:snapToGrid w:val="0"/>
              <w:jc w:val="center"/>
              <w:rPr>
                <w:rFonts w:hint="eastAsia" w:ascii="微软雅黑" w:hAnsi="微软雅黑" w:eastAsia="微软雅黑" w:cs="微软雅黑"/>
                <w:bCs/>
                <w:kern w:val="2"/>
                <w:sz w:val="21"/>
                <w:szCs w:val="21"/>
                <w:highlight w:val="none"/>
                <w:lang w:val="en-US" w:eastAsia="zh-CN" w:bidi="ar-SA"/>
              </w:rPr>
            </w:pPr>
            <w:r>
              <w:rPr>
                <w:rFonts w:hint="eastAsia" w:ascii="微软雅黑" w:hAnsi="微软雅黑" w:eastAsia="微软雅黑" w:cs="微软雅黑"/>
                <w:bCs/>
                <w:kern w:val="2"/>
                <w:sz w:val="21"/>
                <w:szCs w:val="21"/>
                <w:highlight w:val="none"/>
                <w:lang w:val="en-US" w:eastAsia="zh-CN" w:bidi="ar-SA"/>
              </w:rPr>
              <w:t>（元）</w:t>
            </w:r>
          </w:p>
          <w:p>
            <w:pPr>
              <w:pStyle w:val="4"/>
              <w:snapToGrid w:val="0"/>
              <w:jc w:val="center"/>
              <w:rPr>
                <w:rFonts w:hint="eastAsia" w:ascii="微软雅黑" w:hAnsi="微软雅黑" w:eastAsia="微软雅黑" w:cs="微软雅黑"/>
                <w:bCs/>
                <w:kern w:val="2"/>
                <w:sz w:val="21"/>
                <w:szCs w:val="21"/>
                <w:highlight w:val="none"/>
                <w:lang w:val="en-US" w:eastAsia="zh-CN" w:bidi="ar-SA"/>
              </w:rPr>
            </w:pPr>
          </w:p>
        </w:tc>
        <w:tc>
          <w:tcPr>
            <w:tcW w:w="854" w:type="dxa"/>
            <w:vMerge w:val="restart"/>
            <w:vAlign w:val="center"/>
          </w:tcPr>
          <w:p>
            <w:pPr>
              <w:pStyle w:val="4"/>
              <w:snapToGrid w:val="0"/>
              <w:jc w:val="center"/>
              <w:rPr>
                <w:rFonts w:hint="eastAsia" w:ascii="微软雅黑" w:hAnsi="微软雅黑" w:eastAsia="微软雅黑" w:cs="微软雅黑"/>
                <w:bCs/>
                <w:kern w:val="2"/>
                <w:sz w:val="21"/>
                <w:szCs w:val="21"/>
                <w:highlight w:val="none"/>
                <w:lang w:val="en-US" w:eastAsia="zh-CN" w:bidi="ar-SA"/>
              </w:rPr>
            </w:pPr>
            <w:r>
              <w:rPr>
                <w:rFonts w:hint="eastAsia" w:ascii="微软雅黑" w:hAnsi="微软雅黑" w:eastAsia="微软雅黑" w:cs="微软雅黑"/>
                <w:bCs/>
                <w:kern w:val="2"/>
                <w:sz w:val="21"/>
                <w:szCs w:val="21"/>
                <w:highlight w:val="none"/>
                <w:lang w:val="en-US" w:eastAsia="zh-CN" w:bidi="ar-SA"/>
              </w:rPr>
              <w:t>合计</w:t>
            </w:r>
          </w:p>
          <w:p>
            <w:pPr>
              <w:pStyle w:val="4"/>
              <w:snapToGrid w:val="0"/>
              <w:jc w:val="center"/>
              <w:rPr>
                <w:rFonts w:hint="eastAsia" w:ascii="微软雅黑" w:hAnsi="微软雅黑" w:eastAsia="微软雅黑" w:cs="微软雅黑"/>
                <w:bCs/>
                <w:kern w:val="2"/>
                <w:sz w:val="21"/>
                <w:szCs w:val="21"/>
                <w:highlight w:val="none"/>
                <w:lang w:val="en-US" w:eastAsia="zh-CN" w:bidi="ar-SA"/>
              </w:rPr>
            </w:pPr>
            <w:r>
              <w:rPr>
                <w:rFonts w:hint="eastAsia" w:ascii="微软雅黑" w:hAnsi="微软雅黑" w:eastAsia="微软雅黑" w:cs="微软雅黑"/>
                <w:bCs/>
                <w:kern w:val="2"/>
                <w:sz w:val="21"/>
                <w:szCs w:val="21"/>
                <w:highlight w:val="none"/>
                <w:lang w:val="en-US" w:eastAsia="zh-CN" w:bidi="ar-SA"/>
              </w:rPr>
              <w:t>（元）</w:t>
            </w:r>
          </w:p>
        </w:tc>
        <w:tc>
          <w:tcPr>
            <w:tcW w:w="487" w:type="dxa"/>
            <w:vMerge w:val="restart"/>
            <w:vAlign w:val="center"/>
          </w:tcPr>
          <w:p>
            <w:pPr>
              <w:pStyle w:val="4"/>
              <w:snapToGrid w:val="0"/>
              <w:jc w:val="center"/>
              <w:rPr>
                <w:rFonts w:hint="eastAsia" w:ascii="微软雅黑" w:hAnsi="微软雅黑" w:eastAsia="微软雅黑" w:cs="微软雅黑"/>
                <w:bCs/>
                <w:kern w:val="2"/>
                <w:sz w:val="21"/>
                <w:szCs w:val="21"/>
                <w:highlight w:val="none"/>
                <w:lang w:val="en-US" w:eastAsia="zh-CN" w:bidi="ar-SA"/>
              </w:rPr>
            </w:pPr>
            <w:r>
              <w:rPr>
                <w:rFonts w:hint="eastAsia" w:ascii="微软雅黑" w:hAnsi="微软雅黑" w:eastAsia="微软雅黑" w:cs="微软雅黑"/>
                <w:bCs/>
                <w:kern w:val="2"/>
                <w:sz w:val="21"/>
                <w:szCs w:val="21"/>
                <w:highlight w:val="none"/>
                <w:lang w:val="en-US" w:eastAsia="zh-CN" w:bidi="ar-S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94" w:hRule="atLeast"/>
        </w:trPr>
        <w:tc>
          <w:tcPr>
            <w:tcW w:w="418" w:type="dxa"/>
            <w:vMerge w:val="continue"/>
            <w:vAlign w:val="center"/>
          </w:tcPr>
          <w:p>
            <w:pPr>
              <w:pStyle w:val="4"/>
              <w:snapToGrid w:val="0"/>
              <w:jc w:val="center"/>
              <w:rPr>
                <w:rFonts w:hint="eastAsia" w:ascii="微软雅黑" w:hAnsi="微软雅黑" w:eastAsia="微软雅黑" w:cs="微软雅黑"/>
                <w:spacing w:val="-20"/>
                <w:sz w:val="24"/>
                <w:szCs w:val="24"/>
                <w:highlight w:val="none"/>
              </w:rPr>
            </w:pPr>
          </w:p>
        </w:tc>
        <w:tc>
          <w:tcPr>
            <w:tcW w:w="806" w:type="dxa"/>
            <w:vMerge w:val="continue"/>
            <w:vAlign w:val="center"/>
          </w:tcPr>
          <w:p>
            <w:pPr>
              <w:pStyle w:val="4"/>
              <w:snapToGrid w:val="0"/>
              <w:jc w:val="center"/>
              <w:rPr>
                <w:rFonts w:hint="eastAsia" w:ascii="微软雅黑" w:hAnsi="微软雅黑" w:eastAsia="微软雅黑" w:cs="微软雅黑"/>
                <w:spacing w:val="-20"/>
                <w:sz w:val="24"/>
                <w:szCs w:val="24"/>
                <w:highlight w:val="none"/>
              </w:rPr>
            </w:pPr>
          </w:p>
        </w:tc>
        <w:tc>
          <w:tcPr>
            <w:tcW w:w="6740" w:type="dxa"/>
            <w:vMerge w:val="continue"/>
            <w:vAlign w:val="center"/>
          </w:tcPr>
          <w:p>
            <w:pPr>
              <w:pStyle w:val="4"/>
              <w:snapToGrid w:val="0"/>
              <w:jc w:val="center"/>
              <w:rPr>
                <w:rFonts w:hint="eastAsia" w:ascii="微软雅黑" w:hAnsi="微软雅黑" w:eastAsia="微软雅黑" w:cs="微软雅黑"/>
                <w:spacing w:val="-20"/>
                <w:sz w:val="24"/>
                <w:szCs w:val="24"/>
                <w:highlight w:val="none"/>
              </w:rPr>
            </w:pPr>
          </w:p>
        </w:tc>
        <w:tc>
          <w:tcPr>
            <w:tcW w:w="582" w:type="dxa"/>
            <w:vMerge w:val="continue"/>
            <w:vAlign w:val="center"/>
          </w:tcPr>
          <w:p>
            <w:pPr>
              <w:pStyle w:val="4"/>
              <w:snapToGrid w:val="0"/>
              <w:jc w:val="center"/>
              <w:rPr>
                <w:rFonts w:hint="eastAsia" w:ascii="微软雅黑" w:hAnsi="微软雅黑" w:eastAsia="微软雅黑" w:cs="微软雅黑"/>
                <w:sz w:val="24"/>
                <w:szCs w:val="24"/>
                <w:highlight w:val="none"/>
              </w:rPr>
            </w:pPr>
          </w:p>
        </w:tc>
        <w:tc>
          <w:tcPr>
            <w:tcW w:w="843" w:type="dxa"/>
            <w:vMerge w:val="continue"/>
            <w:vAlign w:val="center"/>
          </w:tcPr>
          <w:p>
            <w:pPr>
              <w:pStyle w:val="4"/>
              <w:snapToGrid w:val="0"/>
              <w:jc w:val="center"/>
              <w:rPr>
                <w:rFonts w:hint="eastAsia" w:ascii="微软雅黑" w:hAnsi="微软雅黑" w:eastAsia="微软雅黑" w:cs="微软雅黑"/>
                <w:sz w:val="24"/>
                <w:szCs w:val="24"/>
                <w:highlight w:val="none"/>
              </w:rPr>
            </w:pPr>
          </w:p>
        </w:tc>
        <w:tc>
          <w:tcPr>
            <w:tcW w:w="854" w:type="dxa"/>
            <w:vMerge w:val="continue"/>
            <w:vAlign w:val="center"/>
          </w:tcPr>
          <w:p>
            <w:pPr>
              <w:pStyle w:val="4"/>
              <w:snapToGrid w:val="0"/>
              <w:jc w:val="center"/>
              <w:rPr>
                <w:rFonts w:hint="eastAsia" w:ascii="微软雅黑" w:hAnsi="微软雅黑" w:eastAsia="微软雅黑" w:cs="微软雅黑"/>
                <w:sz w:val="24"/>
                <w:szCs w:val="24"/>
                <w:highlight w:val="none"/>
              </w:rPr>
            </w:pPr>
          </w:p>
        </w:tc>
        <w:tc>
          <w:tcPr>
            <w:tcW w:w="487" w:type="dxa"/>
            <w:vMerge w:val="continue"/>
            <w:vAlign w:val="center"/>
          </w:tcPr>
          <w:p>
            <w:pPr>
              <w:pStyle w:val="4"/>
              <w:snapToGrid w:val="0"/>
              <w:jc w:val="center"/>
              <w:rPr>
                <w:rFonts w:hint="eastAsia" w:ascii="微软雅黑" w:hAnsi="微软雅黑" w:eastAsia="微软雅黑" w:cs="微软雅黑"/>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106" w:hRule="atLeast"/>
        </w:trPr>
        <w:tc>
          <w:tcPr>
            <w:tcW w:w="418" w:type="dxa"/>
            <w:vAlign w:val="center"/>
          </w:tcPr>
          <w:p>
            <w:pPr>
              <w:snapToGrid w:val="0"/>
              <w:jc w:val="center"/>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1</w:t>
            </w:r>
          </w:p>
        </w:tc>
        <w:tc>
          <w:tcPr>
            <w:tcW w:w="806" w:type="dxa"/>
            <w:vAlign w:val="center"/>
          </w:tcPr>
          <w:p>
            <w:pPr>
              <w:pStyle w:val="5"/>
              <w:snapToGrid w:val="0"/>
              <w:spacing w:after="0"/>
              <w:ind w:left="-105" w:leftChars="-50" w:right="-105" w:rightChars="-50"/>
              <w:jc w:val="center"/>
              <w:rPr>
                <w:rFonts w:hint="eastAsia" w:ascii="微软雅黑" w:hAnsi="微软雅黑" w:eastAsia="微软雅黑" w:cs="微软雅黑"/>
                <w:bCs/>
                <w:sz w:val="21"/>
                <w:szCs w:val="21"/>
                <w:highlight w:val="none"/>
                <w:lang w:val="en-US" w:eastAsia="zh-CN"/>
              </w:rPr>
            </w:pPr>
            <w:r>
              <w:rPr>
                <w:rFonts w:hint="eastAsia" w:ascii="微软雅黑" w:hAnsi="微软雅黑" w:eastAsia="微软雅黑" w:cs="微软雅黑"/>
                <w:bCs/>
                <w:sz w:val="21"/>
                <w:szCs w:val="21"/>
                <w:highlight w:val="none"/>
                <w:lang w:val="en-US" w:eastAsia="zh-CN"/>
              </w:rPr>
              <w:t>太阳能路灯</w:t>
            </w:r>
          </w:p>
        </w:tc>
        <w:tc>
          <w:tcPr>
            <w:tcW w:w="6740" w:type="dxa"/>
            <w:vAlign w:val="center"/>
          </w:tcPr>
          <w:p>
            <w:pPr>
              <w:pageBreakBefore w:val="0"/>
              <w:kinsoku/>
              <w:wordWrap/>
              <w:overflowPunct/>
              <w:topLinePunct w:val="0"/>
              <w:autoSpaceDE/>
              <w:autoSpaceDN/>
              <w:bidi w:val="0"/>
              <w:adjustRightInd/>
              <w:snapToGrid/>
              <w:spacing w:beforeAutospacing="0" w:afterAutospacing="0" w:line="300" w:lineRule="exact"/>
              <w:jc w:val="center"/>
              <w:textAlignment w:val="auto"/>
              <w:rPr>
                <w:sz w:val="21"/>
                <w:szCs w:val="21"/>
              </w:rPr>
            </w:pPr>
            <w:r>
              <w:rPr>
                <w:sz w:val="21"/>
                <w:szCs w:val="21"/>
              </w:rPr>
              <w:t>1</w:t>
            </w:r>
            <w:r>
              <w:rPr>
                <w:rFonts w:hint="eastAsia"/>
                <w:sz w:val="21"/>
                <w:szCs w:val="21"/>
              </w:rPr>
              <w:t>、太阳能监控路灯；灯具为优质铝材；太阳能路灯增加摄像头功能</w:t>
            </w:r>
            <w:r>
              <w:rPr>
                <w:sz w:val="21"/>
                <w:szCs w:val="21"/>
              </w:rPr>
              <w:t xml:space="preserve"> </w:t>
            </w:r>
            <w:r>
              <w:rPr>
                <w:rFonts w:hint="eastAsia"/>
                <w:sz w:val="21"/>
                <w:szCs w:val="21"/>
              </w:rPr>
              <w:t>，</w:t>
            </w:r>
            <w:r>
              <w:rPr>
                <w:sz w:val="21"/>
                <w:szCs w:val="21"/>
              </w:rPr>
              <w:t>4G</w:t>
            </w:r>
            <w:r>
              <w:rPr>
                <w:rFonts w:hint="eastAsia"/>
                <w:sz w:val="21"/>
                <w:szCs w:val="21"/>
              </w:rPr>
              <w:t>模块</w:t>
            </w:r>
            <w:r>
              <w:rPr>
                <w:sz w:val="21"/>
                <w:szCs w:val="21"/>
              </w:rPr>
              <w:t>1</w:t>
            </w:r>
            <w:r>
              <w:rPr>
                <w:rFonts w:hint="eastAsia"/>
                <w:sz w:val="21"/>
                <w:szCs w:val="21"/>
              </w:rPr>
              <w:t>套，内存卡</w:t>
            </w:r>
            <w:r>
              <w:rPr>
                <w:sz w:val="21"/>
                <w:szCs w:val="21"/>
              </w:rPr>
              <w:t>1</w:t>
            </w:r>
            <w:r>
              <w:rPr>
                <w:rFonts w:hint="eastAsia"/>
                <w:sz w:val="21"/>
                <w:szCs w:val="21"/>
              </w:rPr>
              <w:t>套：</w:t>
            </w:r>
            <w:r>
              <w:rPr>
                <w:sz w:val="21"/>
                <w:szCs w:val="21"/>
              </w:rPr>
              <w:t>2.0</w:t>
            </w:r>
            <w:r>
              <w:rPr>
                <w:rFonts w:hint="eastAsia"/>
                <w:sz w:val="21"/>
                <w:szCs w:val="21"/>
              </w:rPr>
              <w:t>内存卡（</w:t>
            </w:r>
            <w:r>
              <w:rPr>
                <w:sz w:val="21"/>
                <w:szCs w:val="21"/>
              </w:rPr>
              <w:t>120G)</w:t>
            </w:r>
            <w:r>
              <w:rPr>
                <w:rFonts w:hint="eastAsia"/>
                <w:sz w:val="21"/>
                <w:szCs w:val="21"/>
              </w:rPr>
              <w:t>；</w:t>
            </w:r>
          </w:p>
          <w:p>
            <w:pPr>
              <w:pageBreakBefore w:val="0"/>
              <w:kinsoku/>
              <w:wordWrap/>
              <w:overflowPunct/>
              <w:topLinePunct w:val="0"/>
              <w:autoSpaceDE/>
              <w:autoSpaceDN/>
              <w:bidi w:val="0"/>
              <w:adjustRightInd/>
              <w:snapToGrid/>
              <w:spacing w:beforeAutospacing="0" w:afterAutospacing="0" w:line="300" w:lineRule="exact"/>
              <w:jc w:val="center"/>
              <w:textAlignment w:val="auto"/>
              <w:rPr>
                <w:sz w:val="21"/>
                <w:szCs w:val="21"/>
              </w:rPr>
            </w:pPr>
            <w:r>
              <w:rPr>
                <w:rFonts w:hint="eastAsia"/>
                <w:sz w:val="21"/>
                <w:szCs w:val="21"/>
              </w:rPr>
              <w:t>①</w:t>
            </w:r>
            <w:r>
              <w:rPr>
                <w:sz w:val="21"/>
                <w:szCs w:val="21"/>
              </w:rPr>
              <w:t>100W</w:t>
            </w:r>
            <w:r>
              <w:rPr>
                <w:rFonts w:hint="eastAsia"/>
                <w:sz w:val="21"/>
                <w:szCs w:val="21"/>
              </w:rPr>
              <w:t>单晶太阳能板转换率≥</w:t>
            </w:r>
            <w:r>
              <w:rPr>
                <w:sz w:val="21"/>
                <w:szCs w:val="21"/>
              </w:rPr>
              <w:t>19</w:t>
            </w:r>
            <w:r>
              <w:rPr>
                <w:rFonts w:hint="eastAsia"/>
                <w:sz w:val="21"/>
                <w:szCs w:val="21"/>
              </w:rPr>
              <w:t>％。太阳能板垂直</w:t>
            </w:r>
            <w:r>
              <w:rPr>
                <w:sz w:val="21"/>
                <w:szCs w:val="21"/>
              </w:rPr>
              <w:t>/</w:t>
            </w:r>
            <w:r>
              <w:rPr>
                <w:rFonts w:hint="eastAsia"/>
                <w:sz w:val="21"/>
                <w:szCs w:val="21"/>
              </w:rPr>
              <w:t>水平多角度可调；整灯符合</w:t>
            </w:r>
            <w:r>
              <w:rPr>
                <w:sz w:val="21"/>
                <w:szCs w:val="21"/>
              </w:rPr>
              <w:t>GB7000.203(GB7000.1)(</w:t>
            </w:r>
            <w:r>
              <w:rPr>
                <w:rFonts w:hint="eastAsia"/>
                <w:sz w:val="21"/>
                <w:szCs w:val="21"/>
              </w:rPr>
              <w:t>提供2016年后第三方检测报告复印件，签订合同时原件核查）的相应国家标准。</w:t>
            </w:r>
          </w:p>
          <w:p>
            <w:pPr>
              <w:pageBreakBefore w:val="0"/>
              <w:kinsoku/>
              <w:wordWrap/>
              <w:overflowPunct/>
              <w:topLinePunct w:val="0"/>
              <w:autoSpaceDE/>
              <w:autoSpaceDN/>
              <w:bidi w:val="0"/>
              <w:adjustRightInd/>
              <w:snapToGrid/>
              <w:spacing w:beforeAutospacing="0" w:afterAutospacing="0" w:line="300" w:lineRule="exact"/>
              <w:jc w:val="center"/>
              <w:textAlignment w:val="auto"/>
              <w:rPr>
                <w:sz w:val="21"/>
                <w:szCs w:val="21"/>
              </w:rPr>
            </w:pPr>
            <w:r>
              <w:rPr>
                <w:rFonts w:hint="eastAsia"/>
                <w:sz w:val="21"/>
                <w:szCs w:val="21"/>
              </w:rPr>
              <w:t>②</w:t>
            </w:r>
            <w:r>
              <w:rPr>
                <w:sz w:val="21"/>
                <w:szCs w:val="21"/>
              </w:rPr>
              <w:t>A</w:t>
            </w:r>
            <w:r>
              <w:rPr>
                <w:rFonts w:hint="eastAsia"/>
                <w:sz w:val="21"/>
                <w:szCs w:val="21"/>
              </w:rPr>
              <w:t>品磷酸铁锂电池≥</w:t>
            </w:r>
            <w:r>
              <w:rPr>
                <w:sz w:val="21"/>
                <w:szCs w:val="21"/>
              </w:rPr>
              <w:t>330WH</w:t>
            </w:r>
            <w:r>
              <w:rPr>
                <w:rFonts w:hint="eastAsia"/>
                <w:sz w:val="21"/>
                <w:szCs w:val="21"/>
              </w:rPr>
              <w:t>，循环使用寿命</w:t>
            </w:r>
            <w:r>
              <w:rPr>
                <w:sz w:val="21"/>
                <w:szCs w:val="21"/>
              </w:rPr>
              <w:t>10</w:t>
            </w:r>
            <w:r>
              <w:rPr>
                <w:rFonts w:hint="eastAsia"/>
                <w:sz w:val="21"/>
                <w:szCs w:val="21"/>
              </w:rPr>
              <w:t>年以上，充放电循环次数</w:t>
            </w:r>
            <w:r>
              <w:rPr>
                <w:sz w:val="21"/>
                <w:szCs w:val="21"/>
              </w:rPr>
              <w:t>2000</w:t>
            </w:r>
            <w:r>
              <w:rPr>
                <w:rFonts w:hint="eastAsia"/>
                <w:sz w:val="21"/>
                <w:szCs w:val="21"/>
              </w:rPr>
              <w:t>次以上；</w:t>
            </w:r>
          </w:p>
          <w:p>
            <w:pPr>
              <w:pageBreakBefore w:val="0"/>
              <w:kinsoku/>
              <w:wordWrap/>
              <w:overflowPunct/>
              <w:topLinePunct w:val="0"/>
              <w:autoSpaceDE/>
              <w:autoSpaceDN/>
              <w:bidi w:val="0"/>
              <w:adjustRightInd/>
              <w:snapToGrid/>
              <w:spacing w:beforeAutospacing="0" w:afterAutospacing="0" w:line="300" w:lineRule="exact"/>
              <w:jc w:val="center"/>
              <w:textAlignment w:val="auto"/>
              <w:rPr>
                <w:sz w:val="21"/>
                <w:szCs w:val="21"/>
              </w:rPr>
            </w:pPr>
            <w:r>
              <w:rPr>
                <w:rFonts w:hint="eastAsia"/>
                <w:sz w:val="21"/>
                <w:szCs w:val="21"/>
              </w:rPr>
              <w:t>③</w:t>
            </w:r>
            <w:r>
              <w:rPr>
                <w:rFonts w:hint="eastAsia"/>
                <w:sz w:val="21"/>
                <w:szCs w:val="21"/>
                <w:lang w:eastAsia="zh-CN"/>
              </w:rPr>
              <w:t>灯珠</w:t>
            </w:r>
            <w:r>
              <w:rPr>
                <w:rFonts w:hint="eastAsia"/>
                <w:sz w:val="21"/>
                <w:szCs w:val="21"/>
              </w:rPr>
              <w:t>≥</w:t>
            </w:r>
            <w:r>
              <w:rPr>
                <w:sz w:val="21"/>
                <w:szCs w:val="21"/>
              </w:rPr>
              <w:t>35PCS</w:t>
            </w:r>
            <w:r>
              <w:rPr>
                <w:rFonts w:hint="eastAsia"/>
                <w:sz w:val="21"/>
                <w:szCs w:val="21"/>
              </w:rPr>
              <w:t>高光效灯珠（</w:t>
            </w:r>
            <w:r>
              <w:rPr>
                <w:sz w:val="21"/>
                <w:szCs w:val="21"/>
              </w:rPr>
              <w:t>0-3W</w:t>
            </w:r>
            <w:r>
              <w:rPr>
                <w:rFonts w:hint="eastAsia"/>
                <w:sz w:val="21"/>
                <w:szCs w:val="21"/>
              </w:rPr>
              <w:t>可调）。整灯光效≥</w:t>
            </w:r>
            <w:r>
              <w:rPr>
                <w:sz w:val="21"/>
                <w:szCs w:val="21"/>
              </w:rPr>
              <w:t>155Lm/W(</w:t>
            </w:r>
            <w:r>
              <w:rPr>
                <w:rFonts w:hint="eastAsia"/>
                <w:sz w:val="21"/>
                <w:szCs w:val="21"/>
              </w:rPr>
              <w:t>提供省级及省级以上电光源检测报告复印件，签订合同时原件核查），显色指数≥</w:t>
            </w:r>
            <w:r>
              <w:rPr>
                <w:sz w:val="21"/>
                <w:szCs w:val="21"/>
              </w:rPr>
              <w:t>70</w:t>
            </w:r>
            <w:r>
              <w:rPr>
                <w:rFonts w:hint="eastAsia"/>
                <w:sz w:val="21"/>
                <w:szCs w:val="21"/>
              </w:rPr>
              <w:t>；</w:t>
            </w:r>
          </w:p>
          <w:p>
            <w:pPr>
              <w:pStyle w:val="8"/>
              <w:pageBreakBefore w:val="0"/>
              <w:kinsoku/>
              <w:wordWrap/>
              <w:overflowPunct/>
              <w:topLinePunct w:val="0"/>
              <w:autoSpaceDE/>
              <w:autoSpaceDN/>
              <w:bidi w:val="0"/>
              <w:adjustRightInd/>
              <w:snapToGrid/>
              <w:spacing w:before="81" w:beforeAutospacing="0" w:afterAutospacing="0" w:line="300" w:lineRule="exact"/>
              <w:ind w:left="377" w:right="96" w:hanging="269"/>
              <w:jc w:val="both"/>
              <w:textAlignment w:val="auto"/>
              <w:rPr>
                <w:rFonts w:hint="eastAsia"/>
                <w:sz w:val="21"/>
                <w:szCs w:val="21"/>
                <w:lang w:val="en-US" w:eastAsia="zh-CN"/>
              </w:rPr>
            </w:pPr>
            <w:r>
              <w:rPr>
                <w:rFonts w:hint="eastAsia"/>
                <w:sz w:val="21"/>
                <w:szCs w:val="21"/>
              </w:rPr>
              <w:t>④★整灯嵌入智能监测与控制</w:t>
            </w:r>
            <w:r>
              <w:rPr>
                <w:sz w:val="21"/>
                <w:szCs w:val="21"/>
              </w:rPr>
              <w:t>3.0</w:t>
            </w:r>
            <w:r>
              <w:rPr>
                <w:rFonts w:hint="eastAsia"/>
                <w:sz w:val="21"/>
                <w:szCs w:val="21"/>
              </w:rPr>
              <w:t>系统；智能一体化设计；智能充放电管理，充放电硬件双重保护及智能均衡技术。支持零伏充电，当灯具放电完全后，任然能正常充电</w:t>
            </w:r>
            <w:r>
              <w:rPr>
                <w:sz w:val="21"/>
                <w:szCs w:val="21"/>
              </w:rPr>
              <w:t>(</w:t>
            </w:r>
            <w:r>
              <w:rPr>
                <w:rFonts w:hint="eastAsia"/>
                <w:sz w:val="21"/>
                <w:szCs w:val="21"/>
              </w:rPr>
              <w:t>提供2016年后第三方检测报告复印件，原件核查</w:t>
            </w:r>
            <w:r>
              <w:rPr>
                <w:rFonts w:hint="eastAsia"/>
                <w:sz w:val="21"/>
                <w:szCs w:val="21"/>
                <w:lang w:eastAsia="zh-CN"/>
              </w:rPr>
              <w:t>。）</w:t>
            </w:r>
            <w:r>
              <w:rPr>
                <w:rFonts w:hint="eastAsia"/>
                <w:sz w:val="21"/>
                <w:szCs w:val="21"/>
                <w:lang w:val="en-US" w:eastAsia="zh-CN"/>
              </w:rPr>
              <w:t>检测内容（至少包含以下检测项目且检测结果合格）：</w:t>
            </w:r>
          </w:p>
          <w:p>
            <w:pPr>
              <w:pStyle w:val="8"/>
              <w:pageBreakBefore w:val="0"/>
              <w:kinsoku/>
              <w:wordWrap/>
              <w:overflowPunct/>
              <w:topLinePunct w:val="0"/>
              <w:autoSpaceDE/>
              <w:autoSpaceDN/>
              <w:bidi w:val="0"/>
              <w:adjustRightInd/>
              <w:snapToGrid/>
              <w:spacing w:before="81" w:beforeAutospacing="0" w:afterAutospacing="0" w:line="300" w:lineRule="exact"/>
              <w:ind w:left="377" w:right="39" w:hanging="269"/>
              <w:textAlignment w:val="auto"/>
              <w:rPr>
                <w:rFonts w:hint="eastAsia"/>
                <w:sz w:val="21"/>
                <w:szCs w:val="21"/>
                <w:lang w:val="en-US" w:eastAsia="zh-CN"/>
              </w:rPr>
            </w:pPr>
            <w:r>
              <w:rPr>
                <w:rFonts w:hint="eastAsia"/>
                <w:sz w:val="21"/>
                <w:szCs w:val="21"/>
                <w:lang w:val="en-US" w:eastAsia="zh-CN"/>
              </w:rPr>
              <w:t>a、过充保护功能：控制器具有输入充满断开功能；</w:t>
            </w:r>
          </w:p>
          <w:p>
            <w:pPr>
              <w:pStyle w:val="8"/>
              <w:pageBreakBefore w:val="0"/>
              <w:kinsoku/>
              <w:wordWrap/>
              <w:overflowPunct/>
              <w:topLinePunct w:val="0"/>
              <w:autoSpaceDE/>
              <w:autoSpaceDN/>
              <w:bidi w:val="0"/>
              <w:adjustRightInd/>
              <w:snapToGrid/>
              <w:spacing w:before="81" w:beforeAutospacing="0" w:afterAutospacing="0" w:line="300" w:lineRule="exact"/>
              <w:ind w:left="377" w:right="39" w:hanging="269"/>
              <w:textAlignment w:val="auto"/>
              <w:rPr>
                <w:rFonts w:hint="eastAsia"/>
                <w:sz w:val="21"/>
                <w:szCs w:val="21"/>
                <w:lang w:val="en-US" w:eastAsia="zh-CN"/>
              </w:rPr>
            </w:pPr>
            <w:r>
              <w:rPr>
                <w:rFonts w:hint="eastAsia"/>
                <w:sz w:val="21"/>
                <w:szCs w:val="21"/>
                <w:lang w:val="en-US" w:eastAsia="zh-CN"/>
              </w:rPr>
              <w:t>b、欠压保护功能：当电池电压降到过放点，控制器就能自动切断负载；</w:t>
            </w:r>
          </w:p>
          <w:p>
            <w:pPr>
              <w:pStyle w:val="8"/>
              <w:pageBreakBefore w:val="0"/>
              <w:kinsoku/>
              <w:wordWrap/>
              <w:overflowPunct/>
              <w:topLinePunct w:val="0"/>
              <w:autoSpaceDE/>
              <w:autoSpaceDN/>
              <w:bidi w:val="0"/>
              <w:adjustRightInd/>
              <w:snapToGrid/>
              <w:spacing w:before="81" w:beforeAutospacing="0" w:afterAutospacing="0" w:line="300" w:lineRule="exact"/>
              <w:ind w:left="377" w:right="39" w:hanging="269"/>
              <w:textAlignment w:val="auto"/>
              <w:rPr>
                <w:rFonts w:hint="eastAsia"/>
                <w:sz w:val="21"/>
                <w:szCs w:val="21"/>
                <w:lang w:val="en-US" w:eastAsia="zh-CN"/>
              </w:rPr>
            </w:pPr>
            <w:r>
              <w:rPr>
                <w:rFonts w:hint="eastAsia"/>
                <w:sz w:val="21"/>
                <w:szCs w:val="21"/>
                <w:lang w:val="en-US" w:eastAsia="zh-CN"/>
              </w:rPr>
              <w:t>c、负载短路保护：控制器具有能够承受负载短路的电路保护；</w:t>
            </w:r>
          </w:p>
          <w:p>
            <w:pPr>
              <w:pStyle w:val="8"/>
              <w:pageBreakBefore w:val="0"/>
              <w:kinsoku/>
              <w:wordWrap/>
              <w:overflowPunct/>
              <w:topLinePunct w:val="0"/>
              <w:autoSpaceDE/>
              <w:autoSpaceDN/>
              <w:bidi w:val="0"/>
              <w:adjustRightInd/>
              <w:snapToGrid/>
              <w:spacing w:before="81" w:beforeAutospacing="0" w:afterAutospacing="0" w:line="300" w:lineRule="exact"/>
              <w:ind w:left="377" w:right="39" w:hanging="269"/>
              <w:textAlignment w:val="auto"/>
              <w:rPr>
                <w:rFonts w:hint="eastAsia"/>
                <w:sz w:val="21"/>
                <w:szCs w:val="21"/>
                <w:lang w:val="en-US" w:eastAsia="zh-CN"/>
              </w:rPr>
            </w:pPr>
            <w:r>
              <w:rPr>
                <w:rFonts w:hint="eastAsia"/>
                <w:sz w:val="21"/>
                <w:szCs w:val="21"/>
                <w:lang w:val="en-US" w:eastAsia="zh-CN"/>
              </w:rPr>
              <w:t>d、极性反接保护：将控制器的输入端正负极反接到直流电源的输出端，控制器应能保护；</w:t>
            </w:r>
          </w:p>
          <w:p>
            <w:pPr>
              <w:pageBreakBefore w:val="0"/>
              <w:kinsoku/>
              <w:wordWrap/>
              <w:overflowPunct/>
              <w:topLinePunct w:val="0"/>
              <w:autoSpaceDE/>
              <w:autoSpaceDN/>
              <w:bidi w:val="0"/>
              <w:adjustRightInd/>
              <w:snapToGrid/>
              <w:spacing w:beforeAutospacing="0" w:afterAutospacing="0" w:line="300" w:lineRule="exact"/>
              <w:jc w:val="center"/>
              <w:textAlignment w:val="auto"/>
              <w:rPr>
                <w:sz w:val="21"/>
                <w:szCs w:val="21"/>
              </w:rPr>
            </w:pPr>
            <w:r>
              <w:rPr>
                <w:rFonts w:hint="eastAsia"/>
                <w:sz w:val="21"/>
                <w:szCs w:val="21"/>
                <w:lang w:val="en-US" w:eastAsia="zh-CN"/>
              </w:rPr>
              <w:t>e、0V激活及充电技术：当电池电压低于电池保护板的硬件过放值时，控制器可激活保护板对电池充电</w:t>
            </w:r>
            <w:r>
              <w:rPr>
                <w:rFonts w:hint="eastAsia"/>
                <w:sz w:val="21"/>
                <w:szCs w:val="21"/>
              </w:rPr>
              <w:t>）；</w:t>
            </w:r>
          </w:p>
          <w:p>
            <w:pPr>
              <w:pageBreakBefore w:val="0"/>
              <w:kinsoku/>
              <w:wordWrap/>
              <w:overflowPunct/>
              <w:topLinePunct w:val="0"/>
              <w:autoSpaceDE/>
              <w:autoSpaceDN/>
              <w:bidi w:val="0"/>
              <w:adjustRightInd/>
              <w:snapToGrid/>
              <w:spacing w:beforeAutospacing="0" w:afterAutospacing="0" w:line="300" w:lineRule="exact"/>
              <w:jc w:val="center"/>
              <w:textAlignment w:val="auto"/>
              <w:rPr>
                <w:sz w:val="21"/>
                <w:szCs w:val="21"/>
              </w:rPr>
            </w:pPr>
            <w:r>
              <w:rPr>
                <w:rFonts w:hint="eastAsia"/>
                <w:sz w:val="21"/>
                <w:szCs w:val="21"/>
              </w:rPr>
              <w:t>⑤具有智能功率调节，通过调节功率来达到进一步延长抗阴雨天能力的作用</w:t>
            </w:r>
            <w:r>
              <w:rPr>
                <w:sz w:val="21"/>
                <w:szCs w:val="21"/>
              </w:rPr>
              <w:t>(</w:t>
            </w:r>
            <w:r>
              <w:rPr>
                <w:rFonts w:hint="eastAsia"/>
                <w:sz w:val="21"/>
                <w:szCs w:val="21"/>
              </w:rPr>
              <w:t>提供2016年后第三方检测报告复印件，签订合同时原件核查）</w:t>
            </w:r>
          </w:p>
          <w:p>
            <w:pPr>
              <w:pageBreakBefore w:val="0"/>
              <w:kinsoku/>
              <w:wordWrap/>
              <w:overflowPunct/>
              <w:topLinePunct w:val="0"/>
              <w:autoSpaceDE/>
              <w:autoSpaceDN/>
              <w:bidi w:val="0"/>
              <w:adjustRightInd/>
              <w:snapToGrid/>
              <w:spacing w:beforeAutospacing="0" w:afterAutospacing="0" w:line="300" w:lineRule="exact"/>
              <w:jc w:val="center"/>
              <w:textAlignment w:val="auto"/>
              <w:rPr>
                <w:sz w:val="21"/>
                <w:szCs w:val="21"/>
              </w:rPr>
            </w:pPr>
            <w:r>
              <w:rPr>
                <w:rFonts w:hint="eastAsia"/>
                <w:sz w:val="21"/>
                <w:szCs w:val="21"/>
              </w:rPr>
              <w:t>⑥灯具防护等级≥</w:t>
            </w:r>
            <w:r>
              <w:rPr>
                <w:sz w:val="21"/>
                <w:szCs w:val="21"/>
              </w:rPr>
              <w:t>IP65(</w:t>
            </w:r>
            <w:r>
              <w:rPr>
                <w:rFonts w:hint="eastAsia"/>
                <w:sz w:val="21"/>
                <w:szCs w:val="21"/>
              </w:rPr>
              <w:t>提供2016年后第三方检测报告复印件，签订合同时原件核查）；</w:t>
            </w:r>
          </w:p>
          <w:p>
            <w:pPr>
              <w:pageBreakBefore w:val="0"/>
              <w:kinsoku/>
              <w:wordWrap/>
              <w:overflowPunct/>
              <w:topLinePunct w:val="0"/>
              <w:autoSpaceDE/>
              <w:autoSpaceDN/>
              <w:bidi w:val="0"/>
              <w:adjustRightInd/>
              <w:snapToGrid/>
              <w:spacing w:beforeAutospacing="0" w:afterAutospacing="0" w:line="300" w:lineRule="exact"/>
              <w:jc w:val="center"/>
              <w:textAlignment w:val="auto"/>
              <w:rPr>
                <w:rFonts w:hint="eastAsia"/>
                <w:sz w:val="21"/>
                <w:szCs w:val="21"/>
                <w:lang w:eastAsia="zh-CN"/>
              </w:rPr>
            </w:pPr>
            <w:r>
              <w:rPr>
                <w:rFonts w:hint="eastAsia"/>
                <w:sz w:val="21"/>
                <w:szCs w:val="21"/>
              </w:rPr>
              <w:t>⑦微波雷达感应，嵌入第三代微波雷达感应技术；</w:t>
            </w:r>
            <w:r>
              <w:rPr>
                <w:sz w:val="21"/>
                <w:szCs w:val="21"/>
              </w:rPr>
              <w:t>6</w:t>
            </w:r>
            <w:r>
              <w:rPr>
                <w:rFonts w:hint="eastAsia"/>
                <w:sz w:val="21"/>
                <w:szCs w:val="21"/>
              </w:rPr>
              <w:t>种负载工作模式，使用遥控器对控制器进行设置，具有遥控功能。</w:t>
            </w:r>
          </w:p>
          <w:p>
            <w:pPr>
              <w:pageBreakBefore w:val="0"/>
              <w:numPr>
                <w:ilvl w:val="0"/>
                <w:numId w:val="1"/>
              </w:numPr>
              <w:kinsoku/>
              <w:wordWrap/>
              <w:overflowPunct/>
              <w:topLinePunct w:val="0"/>
              <w:autoSpaceDE/>
              <w:autoSpaceDN/>
              <w:bidi w:val="0"/>
              <w:adjustRightInd/>
              <w:snapToGrid/>
              <w:spacing w:beforeAutospacing="0" w:afterAutospacing="0" w:line="300" w:lineRule="exact"/>
              <w:jc w:val="center"/>
              <w:textAlignment w:val="auto"/>
              <w:rPr>
                <w:rFonts w:hint="eastAsia"/>
                <w:sz w:val="21"/>
                <w:szCs w:val="21"/>
              </w:rPr>
            </w:pPr>
            <w:r>
              <w:rPr>
                <w:rFonts w:hint="eastAsia"/>
                <w:sz w:val="21"/>
                <w:szCs w:val="21"/>
              </w:rPr>
              <w:t>杆高</w:t>
            </w:r>
            <w:r>
              <w:rPr>
                <w:sz w:val="21"/>
                <w:szCs w:val="21"/>
              </w:rPr>
              <w:t>6</w:t>
            </w:r>
            <w:r>
              <w:rPr>
                <w:rFonts w:hint="eastAsia"/>
                <w:sz w:val="21"/>
                <w:szCs w:val="21"/>
              </w:rPr>
              <w:t>米，上口径</w:t>
            </w:r>
            <w:r>
              <w:rPr>
                <w:sz w:val="21"/>
                <w:szCs w:val="21"/>
              </w:rPr>
              <w:t>70mm</w:t>
            </w:r>
            <w:r>
              <w:rPr>
                <w:rFonts w:hint="eastAsia"/>
                <w:sz w:val="21"/>
                <w:szCs w:val="21"/>
              </w:rPr>
              <w:t>，下口径</w:t>
            </w:r>
            <w:r>
              <w:rPr>
                <w:sz w:val="21"/>
                <w:szCs w:val="21"/>
              </w:rPr>
              <w:t>140mm,</w:t>
            </w:r>
            <w:r>
              <w:rPr>
                <w:rFonts w:hint="eastAsia"/>
                <w:sz w:val="21"/>
                <w:szCs w:val="21"/>
              </w:rPr>
              <w:t>壁厚</w:t>
            </w:r>
            <w:r>
              <w:rPr>
                <w:sz w:val="21"/>
                <w:szCs w:val="21"/>
              </w:rPr>
              <w:t>3mm,</w:t>
            </w:r>
            <w:r>
              <w:rPr>
                <w:rFonts w:hint="eastAsia"/>
                <w:sz w:val="21"/>
                <w:szCs w:val="21"/>
              </w:rPr>
              <w:t>法兰</w:t>
            </w:r>
            <w:r>
              <w:rPr>
                <w:sz w:val="21"/>
                <w:szCs w:val="21"/>
              </w:rPr>
              <w:t>255*255*12mm</w:t>
            </w:r>
            <w:r>
              <w:rPr>
                <w:rFonts w:hint="eastAsia"/>
                <w:sz w:val="21"/>
                <w:szCs w:val="21"/>
              </w:rPr>
              <w:t>，热镀锌喷塑。含预埋件，基础开挖，回填，水泥沙石，机械，人工调试。</w:t>
            </w:r>
          </w:p>
          <w:p>
            <w:pPr>
              <w:snapToGrid w:val="0"/>
              <w:jc w:val="center"/>
              <w:rPr>
                <w:rFonts w:hint="eastAsia" w:ascii="微软雅黑" w:hAnsi="微软雅黑" w:eastAsia="微软雅黑" w:cs="微软雅黑"/>
                <w:sz w:val="24"/>
                <w:szCs w:val="24"/>
                <w:highlight w:val="none"/>
                <w:lang w:val="en-US" w:eastAsia="zh-CN"/>
              </w:rPr>
            </w:pPr>
          </w:p>
        </w:tc>
        <w:tc>
          <w:tcPr>
            <w:tcW w:w="582" w:type="dxa"/>
            <w:vAlign w:val="center"/>
          </w:tcPr>
          <w:p>
            <w:pPr>
              <w:pStyle w:val="4"/>
              <w:snapToGrid w:val="0"/>
              <w:jc w:val="center"/>
              <w:rPr>
                <w:rFonts w:hint="eastAsia" w:ascii="宋体" w:hAnsi="宋体" w:eastAsia="宋体" w:cs="宋体"/>
                <w:kern w:val="2"/>
                <w:sz w:val="21"/>
                <w:szCs w:val="21"/>
                <w:lang w:val="en-US" w:eastAsia="zh-CN" w:bidi="zh-CN"/>
              </w:rPr>
            </w:pPr>
            <w:r>
              <w:rPr>
                <w:rFonts w:hint="eastAsia" w:ascii="宋体" w:hAnsi="宋体" w:eastAsia="宋体" w:cs="宋体"/>
                <w:kern w:val="2"/>
                <w:sz w:val="21"/>
                <w:szCs w:val="21"/>
                <w:lang w:val="en-US" w:eastAsia="zh-CN" w:bidi="zh-CN"/>
              </w:rPr>
              <w:t>13</w:t>
            </w:r>
          </w:p>
        </w:tc>
        <w:tc>
          <w:tcPr>
            <w:tcW w:w="843" w:type="dxa"/>
            <w:vAlign w:val="center"/>
          </w:tcPr>
          <w:p>
            <w:pPr>
              <w:pStyle w:val="4"/>
              <w:snapToGrid w:val="0"/>
              <w:rPr>
                <w:rFonts w:hint="eastAsia" w:ascii="宋体" w:hAnsi="宋体" w:eastAsia="宋体" w:cs="宋体"/>
                <w:kern w:val="2"/>
                <w:sz w:val="21"/>
                <w:szCs w:val="21"/>
                <w:lang w:val="en-US" w:eastAsia="zh-CN" w:bidi="zh-CN"/>
              </w:rPr>
            </w:pPr>
            <w:r>
              <w:rPr>
                <w:rFonts w:hint="eastAsia" w:ascii="宋体" w:hAnsi="宋体" w:eastAsia="宋体" w:cs="宋体"/>
                <w:kern w:val="2"/>
                <w:sz w:val="21"/>
                <w:szCs w:val="21"/>
                <w:lang w:val="en-US" w:eastAsia="zh-CN" w:bidi="zh-CN"/>
              </w:rPr>
              <w:t>14150</w:t>
            </w:r>
          </w:p>
        </w:tc>
        <w:tc>
          <w:tcPr>
            <w:tcW w:w="854" w:type="dxa"/>
            <w:vAlign w:val="center"/>
          </w:tcPr>
          <w:p>
            <w:pPr>
              <w:pStyle w:val="4"/>
              <w:snapToGrid w:val="0"/>
              <w:rPr>
                <w:rFonts w:hint="eastAsia" w:ascii="宋体" w:hAnsi="宋体" w:eastAsia="宋体" w:cs="宋体"/>
                <w:kern w:val="2"/>
                <w:sz w:val="21"/>
                <w:szCs w:val="21"/>
                <w:lang w:val="en-US" w:eastAsia="zh-CN" w:bidi="zh-CN"/>
              </w:rPr>
            </w:pPr>
            <w:r>
              <w:rPr>
                <w:rFonts w:hint="eastAsia" w:ascii="宋体" w:hAnsi="宋体" w:eastAsia="宋体" w:cs="宋体"/>
                <w:kern w:val="2"/>
                <w:sz w:val="21"/>
                <w:szCs w:val="21"/>
                <w:lang w:val="en-US" w:eastAsia="zh-CN" w:bidi="zh-CN"/>
              </w:rPr>
              <w:t>183950</w:t>
            </w:r>
          </w:p>
        </w:tc>
        <w:tc>
          <w:tcPr>
            <w:tcW w:w="487" w:type="dxa"/>
            <w:vAlign w:val="center"/>
          </w:tcPr>
          <w:p>
            <w:pPr>
              <w:pStyle w:val="4"/>
              <w:snapToGrid w:val="0"/>
              <w:rPr>
                <w:rFonts w:hint="eastAsia" w:ascii="微软雅黑" w:hAnsi="微软雅黑" w:eastAsia="微软雅黑" w:cs="微软雅黑"/>
                <w:spacing w:val="-6"/>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438" w:hRule="atLeast"/>
        </w:trPr>
        <w:tc>
          <w:tcPr>
            <w:tcW w:w="418" w:type="dxa"/>
            <w:vAlign w:val="center"/>
          </w:tcPr>
          <w:p>
            <w:pPr>
              <w:spacing w:line="280" w:lineRule="exact"/>
              <w:jc w:val="center"/>
              <w:rPr>
                <w:rFonts w:hint="eastAsia" w:ascii="微软雅黑" w:hAnsi="微软雅黑" w:eastAsia="微软雅黑" w:cs="微软雅黑"/>
                <w:b/>
                <w:bCs/>
                <w:sz w:val="21"/>
                <w:szCs w:val="21"/>
                <w:highlight w:val="none"/>
                <w:lang w:val="en-US" w:eastAsia="zh-CN"/>
              </w:rPr>
            </w:pPr>
            <w:r>
              <w:rPr>
                <w:rFonts w:ascii="宋体" w:hAnsi="宋体" w:eastAsia="宋体" w:cs="宋体"/>
                <w:b/>
                <w:bCs/>
                <w:sz w:val="21"/>
                <w:szCs w:val="21"/>
              </w:rPr>
              <w:t>2</w:t>
            </w:r>
          </w:p>
        </w:tc>
        <w:tc>
          <w:tcPr>
            <w:tcW w:w="806" w:type="dxa"/>
            <w:vAlign w:val="center"/>
          </w:tcPr>
          <w:p>
            <w:pPr>
              <w:jc w:val="center"/>
              <w:rPr>
                <w:rFonts w:hint="eastAsia" w:ascii="微软雅黑" w:hAnsi="微软雅黑" w:eastAsia="微软雅黑" w:cs="微软雅黑"/>
                <w:b/>
                <w:bCs/>
                <w:sz w:val="21"/>
                <w:szCs w:val="21"/>
                <w:highlight w:val="none"/>
                <w:lang w:eastAsia="zh-CN"/>
              </w:rPr>
            </w:pPr>
            <w:r>
              <w:rPr>
                <w:rFonts w:hint="eastAsia" w:ascii="宋体" w:hAnsi="宋体" w:eastAsia="宋体" w:cs="宋体"/>
                <w:b/>
                <w:bCs/>
                <w:sz w:val="21"/>
                <w:szCs w:val="21"/>
              </w:rPr>
              <w:t>电脑</w:t>
            </w:r>
          </w:p>
        </w:tc>
        <w:tc>
          <w:tcPr>
            <w:tcW w:w="6740" w:type="dxa"/>
            <w:vAlign w:val="center"/>
          </w:tcPr>
          <w:p>
            <w:pPr>
              <w:jc w:val="center"/>
              <w:rPr>
                <w:rFonts w:hint="eastAsia" w:ascii="微软雅黑" w:hAnsi="微软雅黑" w:eastAsia="微软雅黑" w:cs="微软雅黑"/>
                <w:sz w:val="24"/>
                <w:szCs w:val="24"/>
                <w:highlight w:val="none"/>
                <w:lang w:val="en-US" w:eastAsia="zh-CN"/>
              </w:rPr>
            </w:pPr>
            <w:r>
              <w:rPr>
                <w:rFonts w:ascii="宋体" w:hAnsi="宋体" w:eastAsia="宋体" w:cs="宋体"/>
                <w:sz w:val="21"/>
                <w:szCs w:val="21"/>
              </w:rPr>
              <w:t>CPU</w:t>
            </w:r>
            <w:r>
              <w:rPr>
                <w:rFonts w:hint="eastAsia" w:ascii="宋体" w:hAnsi="宋体" w:eastAsia="宋体" w:cs="宋体"/>
                <w:sz w:val="21"/>
                <w:szCs w:val="21"/>
              </w:rPr>
              <w:t>：英特尔</w:t>
            </w:r>
            <w:r>
              <w:rPr>
                <w:rFonts w:ascii="宋体" w:hAnsi="宋体" w:eastAsia="宋体" w:cs="宋体"/>
                <w:sz w:val="21"/>
                <w:szCs w:val="21"/>
              </w:rPr>
              <w:t>i5-7400</w:t>
            </w:r>
            <w:r>
              <w:rPr>
                <w:rFonts w:hint="eastAsia" w:ascii="宋体" w:hAnsi="宋体" w:eastAsia="宋体" w:cs="宋体"/>
                <w:sz w:val="21"/>
                <w:szCs w:val="21"/>
              </w:rPr>
              <w:t>；内存</w:t>
            </w:r>
            <w:r>
              <w:rPr>
                <w:rFonts w:ascii="宋体" w:hAnsi="宋体" w:eastAsia="宋体" w:cs="宋体"/>
                <w:sz w:val="21"/>
                <w:szCs w:val="21"/>
              </w:rPr>
              <w:t>8G</w:t>
            </w:r>
            <w:r>
              <w:rPr>
                <w:rFonts w:hint="eastAsia" w:ascii="宋体" w:hAnsi="宋体" w:eastAsia="宋体" w:cs="宋体"/>
                <w:sz w:val="21"/>
                <w:szCs w:val="21"/>
              </w:rPr>
              <w:t>；硬盘</w:t>
            </w:r>
            <w:r>
              <w:rPr>
                <w:rFonts w:ascii="宋体" w:hAnsi="宋体" w:eastAsia="宋体" w:cs="宋体"/>
                <w:sz w:val="21"/>
                <w:szCs w:val="21"/>
              </w:rPr>
              <w:t>1000G</w:t>
            </w:r>
            <w:r>
              <w:rPr>
                <w:rFonts w:hint="eastAsia" w:ascii="宋体" w:hAnsi="宋体" w:eastAsia="宋体" w:cs="宋体"/>
                <w:sz w:val="21"/>
                <w:szCs w:val="21"/>
              </w:rPr>
              <w:t>；光驱</w:t>
            </w:r>
            <w:r>
              <w:rPr>
                <w:rFonts w:ascii="宋体" w:hAnsi="宋体" w:eastAsia="宋体" w:cs="宋体"/>
                <w:sz w:val="21"/>
                <w:szCs w:val="21"/>
              </w:rPr>
              <w:t>DVD;</w:t>
            </w:r>
            <w:r>
              <w:rPr>
                <w:rFonts w:hint="eastAsia" w:ascii="宋体" w:hAnsi="宋体" w:eastAsia="宋体" w:cs="宋体"/>
                <w:sz w:val="21"/>
                <w:szCs w:val="21"/>
              </w:rPr>
              <w:t>显示器</w:t>
            </w:r>
            <w:r>
              <w:rPr>
                <w:rFonts w:ascii="宋体" w:hAnsi="宋体" w:eastAsia="宋体" w:cs="宋体"/>
                <w:sz w:val="21"/>
                <w:szCs w:val="21"/>
              </w:rPr>
              <w:t>AOC32</w:t>
            </w:r>
            <w:r>
              <w:rPr>
                <w:rFonts w:hint="eastAsia" w:ascii="宋体" w:hAnsi="宋体" w:eastAsia="宋体" w:cs="宋体"/>
                <w:sz w:val="21"/>
                <w:szCs w:val="21"/>
              </w:rPr>
              <w:t>寸；加配</w:t>
            </w:r>
            <w:r>
              <w:rPr>
                <w:rFonts w:ascii="宋体" w:hAnsi="宋体" w:eastAsia="宋体" w:cs="宋体"/>
                <w:sz w:val="21"/>
                <w:szCs w:val="21"/>
              </w:rPr>
              <w:t>8T</w:t>
            </w:r>
            <w:r>
              <w:rPr>
                <w:rFonts w:hint="eastAsia" w:ascii="宋体" w:hAnsi="宋体" w:eastAsia="宋体" w:cs="宋体"/>
                <w:sz w:val="21"/>
                <w:szCs w:val="21"/>
              </w:rPr>
              <w:t>硬盘</w:t>
            </w:r>
          </w:p>
        </w:tc>
        <w:tc>
          <w:tcPr>
            <w:tcW w:w="582" w:type="dxa"/>
            <w:vAlign w:val="center"/>
          </w:tcPr>
          <w:p>
            <w:pPr>
              <w:pStyle w:val="4"/>
              <w:snapToGrid w:val="0"/>
              <w:jc w:val="center"/>
              <w:rPr>
                <w:rFonts w:hint="eastAsia" w:ascii="宋体" w:hAnsi="宋体" w:eastAsia="宋体" w:cs="宋体"/>
                <w:kern w:val="2"/>
                <w:sz w:val="21"/>
                <w:szCs w:val="21"/>
                <w:lang w:val="en-US" w:eastAsia="zh-CN" w:bidi="zh-CN"/>
              </w:rPr>
            </w:pPr>
            <w:r>
              <w:rPr>
                <w:rFonts w:hint="eastAsia" w:ascii="宋体" w:hAnsi="宋体" w:eastAsia="宋体" w:cs="宋体"/>
                <w:kern w:val="2"/>
                <w:sz w:val="21"/>
                <w:szCs w:val="21"/>
                <w:lang w:val="en-US" w:eastAsia="zh-CN" w:bidi="zh-CN"/>
              </w:rPr>
              <w:t>1</w:t>
            </w:r>
          </w:p>
        </w:tc>
        <w:tc>
          <w:tcPr>
            <w:tcW w:w="843" w:type="dxa"/>
            <w:vAlign w:val="center"/>
          </w:tcPr>
          <w:p>
            <w:pPr>
              <w:pStyle w:val="4"/>
              <w:snapToGrid w:val="0"/>
              <w:jc w:val="center"/>
              <w:rPr>
                <w:rFonts w:hint="eastAsia" w:ascii="宋体" w:hAnsi="宋体" w:eastAsia="宋体" w:cs="宋体"/>
                <w:kern w:val="2"/>
                <w:sz w:val="21"/>
                <w:szCs w:val="21"/>
                <w:lang w:val="en-US" w:eastAsia="zh-CN" w:bidi="zh-CN"/>
              </w:rPr>
            </w:pPr>
            <w:r>
              <w:rPr>
                <w:rFonts w:hint="eastAsia" w:ascii="宋体" w:hAnsi="宋体" w:eastAsia="宋体" w:cs="宋体"/>
                <w:kern w:val="2"/>
                <w:sz w:val="21"/>
                <w:szCs w:val="21"/>
                <w:lang w:val="en-US" w:eastAsia="zh-CN" w:bidi="zh-CN"/>
              </w:rPr>
              <w:t>8350</w:t>
            </w:r>
          </w:p>
        </w:tc>
        <w:tc>
          <w:tcPr>
            <w:tcW w:w="854" w:type="dxa"/>
            <w:vAlign w:val="center"/>
          </w:tcPr>
          <w:p>
            <w:pPr>
              <w:pStyle w:val="4"/>
              <w:snapToGrid w:val="0"/>
              <w:jc w:val="center"/>
              <w:rPr>
                <w:rFonts w:hint="eastAsia" w:ascii="宋体" w:hAnsi="宋体" w:eastAsia="宋体" w:cs="宋体"/>
                <w:kern w:val="2"/>
                <w:sz w:val="21"/>
                <w:szCs w:val="21"/>
                <w:lang w:val="en-US" w:eastAsia="zh-CN" w:bidi="zh-CN"/>
              </w:rPr>
            </w:pPr>
            <w:r>
              <w:rPr>
                <w:rFonts w:hint="eastAsia" w:ascii="宋体" w:hAnsi="宋体" w:eastAsia="宋体" w:cs="宋体"/>
                <w:kern w:val="2"/>
                <w:sz w:val="21"/>
                <w:szCs w:val="21"/>
                <w:lang w:val="en-US" w:eastAsia="zh-CN" w:bidi="zh-CN"/>
              </w:rPr>
              <w:t>8350</w:t>
            </w:r>
          </w:p>
        </w:tc>
        <w:tc>
          <w:tcPr>
            <w:tcW w:w="487" w:type="dxa"/>
            <w:vAlign w:val="center"/>
          </w:tcPr>
          <w:p>
            <w:pPr>
              <w:pStyle w:val="4"/>
              <w:snapToGrid w:val="0"/>
              <w:rPr>
                <w:rFonts w:hint="eastAsia" w:ascii="微软雅黑" w:hAnsi="微软雅黑" w:eastAsia="微软雅黑" w:cs="微软雅黑"/>
                <w:spacing w:val="-6"/>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92" w:hRule="atLeast"/>
        </w:trPr>
        <w:tc>
          <w:tcPr>
            <w:tcW w:w="10730" w:type="dxa"/>
            <w:gridSpan w:val="7"/>
            <w:vAlign w:val="center"/>
          </w:tcPr>
          <w:p>
            <w:pPr>
              <w:pStyle w:val="4"/>
              <w:snapToGrid w:val="0"/>
              <w:rPr>
                <w:rFonts w:hint="eastAsia" w:ascii="微软雅黑" w:hAnsi="微软雅黑" w:eastAsia="微软雅黑" w:cs="微软雅黑"/>
                <w:spacing w:val="-6"/>
                <w:sz w:val="24"/>
                <w:szCs w:val="24"/>
                <w:highlight w:val="none"/>
              </w:rPr>
            </w:pPr>
            <w:r>
              <w:rPr>
                <w:rFonts w:hint="eastAsia" w:ascii="微软雅黑" w:hAnsi="微软雅黑" w:eastAsia="微软雅黑" w:cs="微软雅黑"/>
                <w:spacing w:val="-6"/>
                <w:sz w:val="24"/>
                <w:szCs w:val="24"/>
                <w:highlight w:val="none"/>
              </w:rPr>
              <w:t xml:space="preserve">竞标报价（人民币大写）： </w:t>
            </w:r>
            <w:r>
              <w:rPr>
                <w:rFonts w:hint="eastAsia" w:ascii="微软雅黑" w:hAnsi="微软雅黑" w:eastAsia="微软雅黑" w:cs="微软雅黑"/>
                <w:spacing w:val="-6"/>
                <w:sz w:val="24"/>
                <w:szCs w:val="24"/>
                <w:highlight w:val="none"/>
                <w:lang w:val="en-US" w:eastAsia="zh-CN"/>
              </w:rPr>
              <w:t>壹拾玖万贰仟叁佰圆整（￥192300.00元）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94" w:hRule="atLeast"/>
        </w:trPr>
        <w:tc>
          <w:tcPr>
            <w:tcW w:w="10730" w:type="dxa"/>
            <w:gridSpan w:val="7"/>
            <w:vAlign w:val="center"/>
          </w:tcPr>
          <w:p>
            <w:pPr>
              <w:pStyle w:val="4"/>
              <w:snapToGrid w:val="0"/>
              <w:rPr>
                <w:rFonts w:hint="eastAsia" w:ascii="微软雅黑" w:hAnsi="微软雅黑" w:eastAsia="微软雅黑" w:cs="微软雅黑"/>
                <w:sz w:val="24"/>
                <w:szCs w:val="24"/>
                <w:highlight w:val="none"/>
                <w:lang w:eastAsia="zh-CN"/>
              </w:rPr>
            </w:pPr>
            <w:r>
              <w:rPr>
                <w:rFonts w:hint="eastAsia" w:ascii="微软雅黑" w:hAnsi="微软雅黑" w:eastAsia="微软雅黑" w:cs="微软雅黑"/>
                <w:kern w:val="0"/>
                <w:sz w:val="24"/>
                <w:szCs w:val="24"/>
                <w:highlight w:val="none"/>
              </w:rPr>
              <w:t>交</w:t>
            </w:r>
            <w:r>
              <w:rPr>
                <w:rFonts w:hint="eastAsia" w:ascii="微软雅黑" w:hAnsi="微软雅黑" w:eastAsia="微软雅黑" w:cs="微软雅黑"/>
                <w:kern w:val="0"/>
                <w:sz w:val="24"/>
                <w:szCs w:val="24"/>
                <w:highlight w:val="none"/>
                <w:lang w:eastAsia="zh-CN"/>
              </w:rPr>
              <w:t>货期</w:t>
            </w:r>
            <w:r>
              <w:rPr>
                <w:rFonts w:hint="eastAsia" w:ascii="微软雅黑" w:hAnsi="微软雅黑" w:eastAsia="微软雅黑" w:cs="微软雅黑"/>
                <w:kern w:val="0"/>
                <w:sz w:val="24"/>
                <w:szCs w:val="24"/>
                <w:highlight w:val="none"/>
              </w:rPr>
              <w:t>：</w:t>
            </w:r>
            <w:r>
              <w:rPr>
                <w:rFonts w:hint="eastAsia" w:ascii="微软雅黑" w:hAnsi="微软雅黑" w:eastAsia="微软雅黑" w:cs="微软雅黑"/>
                <w:sz w:val="24"/>
                <w:szCs w:val="24"/>
                <w:highlight w:val="none"/>
              </w:rPr>
              <w:t>签订合同之日起</w:t>
            </w:r>
            <w:r>
              <w:rPr>
                <w:rFonts w:hint="eastAsia" w:ascii="微软雅黑" w:hAnsi="微软雅黑" w:eastAsia="微软雅黑" w:cs="微软雅黑"/>
                <w:sz w:val="24"/>
                <w:szCs w:val="24"/>
                <w:highlight w:val="none"/>
                <w:lang w:val="en-US" w:eastAsia="zh-CN"/>
              </w:rPr>
              <w:t>25</w:t>
            </w:r>
            <w:r>
              <w:rPr>
                <w:rFonts w:hint="eastAsia" w:ascii="微软雅黑" w:hAnsi="微软雅黑" w:eastAsia="微软雅黑" w:cs="微软雅黑"/>
                <w:sz w:val="24"/>
                <w:szCs w:val="24"/>
                <w:highlight w:val="none"/>
                <w:lang w:eastAsia="zh-CN"/>
              </w:rPr>
              <w:t>日</w:t>
            </w:r>
            <w:r>
              <w:rPr>
                <w:rFonts w:hint="eastAsia" w:ascii="微软雅黑" w:hAnsi="微软雅黑" w:eastAsia="微软雅黑" w:cs="微软雅黑"/>
                <w:sz w:val="24"/>
                <w:szCs w:val="24"/>
                <w:highlight w:val="none"/>
              </w:rPr>
              <w:t>内完</w:t>
            </w:r>
            <w:r>
              <w:rPr>
                <w:rFonts w:hint="eastAsia" w:ascii="微软雅黑" w:hAnsi="微软雅黑" w:eastAsia="微软雅黑" w:cs="微软雅黑"/>
                <w:sz w:val="24"/>
                <w:szCs w:val="24"/>
                <w:highlight w:val="none"/>
                <w:lang w:eastAsia="zh-CN"/>
              </w:rPr>
              <w:t>成供货并</w:t>
            </w:r>
            <w:r>
              <w:rPr>
                <w:rFonts w:hint="eastAsia" w:ascii="微软雅黑" w:hAnsi="微软雅黑" w:eastAsia="微软雅黑" w:cs="微软雅黑"/>
                <w:sz w:val="24"/>
                <w:szCs w:val="24"/>
                <w:highlight w:val="none"/>
              </w:rPr>
              <w:t>交付使用</w:t>
            </w:r>
            <w:r>
              <w:rPr>
                <w:rFonts w:hint="eastAsia" w:ascii="微软雅黑" w:hAnsi="微软雅黑" w:eastAsia="微软雅黑" w:cs="微软雅黑"/>
                <w:sz w:val="24"/>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67" w:hRule="atLeast"/>
        </w:trPr>
        <w:tc>
          <w:tcPr>
            <w:tcW w:w="10730" w:type="dxa"/>
            <w:gridSpan w:val="7"/>
            <w:vAlign w:val="center"/>
          </w:tcPr>
          <w:p>
            <w:pPr>
              <w:pStyle w:val="4"/>
              <w:snapToGrid w:val="0"/>
              <w:rPr>
                <w:rFonts w:hint="eastAsia" w:ascii="微软雅黑" w:hAnsi="微软雅黑" w:eastAsia="微软雅黑" w:cs="微软雅黑"/>
                <w:sz w:val="24"/>
                <w:szCs w:val="24"/>
                <w:highlight w:val="none"/>
                <w:lang w:eastAsia="zh-CN"/>
              </w:rPr>
            </w:pPr>
            <w:r>
              <w:rPr>
                <w:rFonts w:hint="eastAsia" w:ascii="微软雅黑" w:hAnsi="微软雅黑" w:eastAsia="微软雅黑" w:cs="微软雅黑"/>
                <w:sz w:val="24"/>
                <w:szCs w:val="24"/>
                <w:highlight w:val="none"/>
                <w:lang w:eastAsia="zh-CN"/>
              </w:rPr>
              <w:t>备注：费用包括货物及实施本项目所需的其他一切费用</w:t>
            </w:r>
          </w:p>
        </w:tc>
      </w:tr>
    </w:tbl>
    <w:p/>
    <w:sectPr>
      <w:pgSz w:w="11906" w:h="16838"/>
      <w:pgMar w:top="986" w:right="1800" w:bottom="1440" w:left="180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BDEB19"/>
    <w:multiLevelType w:val="singleLevel"/>
    <w:tmpl w:val="33BDEB19"/>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985E39"/>
    <w:rsid w:val="11985E39"/>
    <w:rsid w:val="24A16F86"/>
    <w:rsid w:val="29976BEB"/>
    <w:rsid w:val="472C6521"/>
    <w:rsid w:val="4744136F"/>
    <w:rsid w:val="50AD3CBD"/>
    <w:rsid w:val="65597626"/>
    <w:rsid w:val="66F3641B"/>
    <w:rsid w:val="6B970FE0"/>
    <w:rsid w:val="6D535020"/>
    <w:rsid w:val="75E677FF"/>
    <w:rsid w:val="7C383F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unhideWhenUsed/>
    <w:qFormat/>
    <w:uiPriority w:val="0"/>
    <w:pPr>
      <w:keepNext/>
      <w:keepLines/>
      <w:spacing w:line="360" w:lineRule="auto"/>
      <w:ind w:left="567"/>
      <w:outlineLvl w:val="1"/>
    </w:pPr>
    <w:rPr>
      <w:rFonts w:ascii="Cambria" w:hAnsi="Cambria"/>
      <w:b/>
      <w:bCs/>
      <w:sz w:val="32"/>
      <w:szCs w:val="32"/>
    </w:rPr>
  </w:style>
  <w:style w:type="character" w:default="1" w:styleId="6">
    <w:name w:val="Default Paragraph Font"/>
    <w:semiHidden/>
    <w:qFormat/>
    <w:uiPriority w:val="0"/>
  </w:style>
  <w:style w:type="table" w:default="1" w:styleId="7">
    <w:name w:val="Normal Table"/>
    <w:semiHidden/>
    <w:uiPriority w:val="0"/>
    <w:tblPr>
      <w:tblLayout w:type="fixed"/>
      <w:tblCellMar>
        <w:top w:w="0" w:type="dxa"/>
        <w:left w:w="108" w:type="dxa"/>
        <w:bottom w:w="0" w:type="dxa"/>
        <w:right w:w="108" w:type="dxa"/>
      </w:tblCellMar>
    </w:tblPr>
  </w:style>
  <w:style w:type="paragraph" w:styleId="2">
    <w:name w:val="Normal Indent"/>
    <w:basedOn w:val="1"/>
    <w:qFormat/>
    <w:uiPriority w:val="99"/>
    <w:pPr>
      <w:spacing w:line="360" w:lineRule="atLeast"/>
      <w:ind w:firstLine="420"/>
      <w:textAlignment w:val="baseline"/>
    </w:pPr>
  </w:style>
  <w:style w:type="paragraph" w:styleId="4">
    <w:name w:val="Plain Text"/>
    <w:basedOn w:val="1"/>
    <w:qFormat/>
    <w:uiPriority w:val="99"/>
    <w:rPr>
      <w:rFonts w:ascii="宋体" w:hAnsi="Courier New"/>
      <w:szCs w:val="20"/>
    </w:rPr>
  </w:style>
  <w:style w:type="paragraph" w:styleId="5">
    <w:name w:val="Body Text Indent 3"/>
    <w:basedOn w:val="1"/>
    <w:qFormat/>
    <w:uiPriority w:val="0"/>
    <w:pPr>
      <w:spacing w:after="120"/>
      <w:ind w:left="420" w:leftChars="200"/>
    </w:pPr>
    <w:rPr>
      <w:sz w:val="16"/>
      <w:szCs w:val="16"/>
    </w:rPr>
  </w:style>
  <w:style w:type="paragraph" w:customStyle="1" w:styleId="8">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2</TotalTime>
  <ScaleCrop>false</ScaleCrop>
  <LinksUpToDate>false</LinksUpToDate>
  <CharactersWithSpaces>0</CharactersWithSpaces>
  <Application>WPS Office_11.1.0.7932_F1E327BC-269C-435d-A152-05C5408002CA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2018-11-19T09:11:00Z</dcterms:created>
  <dc:creator>Administrator</dc:creator>
  <cp:lastModifiedBy>L</cp:lastModifiedBy>
  <dcterms:modified xsi:type="dcterms:W3CDTF">2018-11-30T07:55:59Z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2052-11.1.0.7932</vt:lpwstr>
  </property>
</Properties>
</file>